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eastAsia="黑体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证券期货业2022年至2023年已发布标准清单</w:t>
      </w:r>
    </w:p>
    <w:bookmarkEnd w:id="0"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95"/>
        <w:gridCol w:w="4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标准中文名称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35964—2023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证券及相关金融工具 金融工具分类（CFI）编码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42775—2023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证券期货业数据安全风险防控 数据分类分级指引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0176.4—2022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证券期货业数据模型 第4部分：基金公司逻辑模型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0244—2022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碳金融产品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0246—2022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面向老年人的证券期货业移动互联网应用程序设计规范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0247—2022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面向老年人的证券期货业移动互联网应用程序设计检测规范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0248—2022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证券期货业机构内部接口 证券交易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0249—2022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证券业登记结算核心术语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0250—2022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证券期货业数据安全管理与保护指引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0251—2022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证券期货业信息技术服务连续性管理指南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0252—2022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场外通用传输接口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0259—2023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公开募集证券投资基金信息披露电子化规范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0261—2022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证券公司客户信息交换规范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0262—2022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证券经营机构投资者适当性管理 投资者评估数据要求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0273—2023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证券公司场外业务资金服务接口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0274—2023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证券期货业机构内部接口 账户管理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0275—2023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证券期货业机构内部接口 资讯数据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0276—2023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证券期货业信息系统渗透测试指南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0292—2023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证券公司核心交易系统技术指标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JR/T 0293—2023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期货公司监管数据采集规范 第1部分：基金信息和经纪业务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2M4MGNkNzJhYTU1MzM0OTFlMmJhMDQ0MzE5YmIifQ=="/>
  </w:docVars>
  <w:rsids>
    <w:rsidRoot w:val="4194746D"/>
    <w:rsid w:val="303B25F1"/>
    <w:rsid w:val="4194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674</Characters>
  <Lines>0</Lines>
  <Paragraphs>0</Paragraphs>
  <TotalTime>0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2023-09-12T09:27:00Z</dcterms:created>
  <dc:creator>于瑛华</dc:creator>
  <cp:lastModifiedBy>于瑛华</cp:lastModifiedBy>
  <dcterms:modified xsi:type="dcterms:W3CDTF">2023-09-12T09:27:32Z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C4DB76C239CE430485EC5EE3EE736685_11</vt:lpwstr>
  </property>
</Properties>
</file>