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证券期货业企业标准信息登记表</w:t>
      </w:r>
    </w:p>
    <w:bookmarkEnd w:id="0"/>
    <w:tbl>
      <w:tblPr>
        <w:tblStyle w:val="3"/>
        <w:tblpPr w:leftFromText="180" w:rightFromText="180" w:vertAnchor="text" w:horzAnchor="page" w:tblpX="1689" w:tblpY="206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81"/>
        <w:gridCol w:w="221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z w:val="30"/>
                <w:szCs w:val="30"/>
                <w:highlight w:val="none"/>
                <w:vertAlign w:val="baseline"/>
                <w:lang w:val="en-US" w:eastAsia="zh-CN"/>
              </w:rPr>
              <w:t>例如：通用基础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标准联系人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我司对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公开信息的真实性、准确性、合法性负责，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确保提供信息不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涉及国家秘密、商业秘密和个人隐私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并同意在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资本市场标准网公开展示，供行业参考借鉴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申请单位（盖章）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2F36"/>
    <w:rsid w:val="4D6C4DE0"/>
    <w:rsid w:val="5DFB2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CSITS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2023-08-24T08:04:00Z</dcterms:created>
  <dc:creator>文件管理员：文件管理员</dc:creator>
  <cp:lastModifiedBy>文件管理员：文件管理员</cp:lastModifiedBy>
  <dcterms:modified xsi:type="dcterms:W3CDTF">2023-08-24T08:05:36Z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